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70CCB3F5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1C3437">
        <w:rPr>
          <w:rFonts w:ascii="Open Sans" w:hAnsi="Open Sans" w:cs="Open Sans"/>
          <w:b/>
        </w:rPr>
        <w:t xml:space="preserve">12 </w:t>
      </w:r>
      <w:r w:rsidR="00430D7C">
        <w:rPr>
          <w:rFonts w:ascii="Open Sans" w:hAnsi="Open Sans" w:cs="Open Sans"/>
          <w:b/>
        </w:rPr>
        <w:t>października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9458D0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7122E221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430D7C">
        <w:rPr>
          <w:rFonts w:ascii="Open Sans" w:hAnsi="Open Sans" w:cs="Open Sans"/>
          <w:b/>
        </w:rPr>
        <w:t>1.37</w:t>
      </w:r>
      <w:r w:rsidR="001C3437">
        <w:rPr>
          <w:rFonts w:ascii="Open Sans" w:hAnsi="Open Sans" w:cs="Open Sans"/>
          <w:b/>
        </w:rPr>
        <w:t>.44.</w:t>
      </w:r>
      <w:r w:rsidR="00ED49DF">
        <w:rPr>
          <w:rFonts w:ascii="Open Sans" w:hAnsi="Open Sans" w:cs="Open Sans"/>
          <w:b/>
        </w:rPr>
        <w:t>202</w:t>
      </w:r>
      <w:r w:rsidR="00430D7C">
        <w:rPr>
          <w:rFonts w:ascii="Open Sans" w:hAnsi="Open Sans" w:cs="Open Sans"/>
          <w:b/>
        </w:rPr>
        <w:t>1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02D6DB55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="00FD3199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1C3437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1C3437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1C3437">
        <w:rPr>
          <w:rFonts w:ascii="Open Sans" w:hAnsi="Open Sans" w:cs="Open Sans"/>
          <w:color w:val="000000"/>
          <w:sz w:val="22"/>
          <w:szCs w:val="22"/>
        </w:rPr>
        <w:t>2000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---------------</w:t>
      </w:r>
      <w:r w:rsidR="001C3437" w:rsidRPr="001C3437">
        <w:rPr>
          <w:rFonts w:ascii="Open Sans" w:hAnsi="Open Sans" w:cs="Open Sans"/>
          <w:sz w:val="22"/>
          <w:szCs w:val="22"/>
        </w:rPr>
        <w:t xml:space="preserve"> </w:t>
      </w:r>
      <w:r w:rsidR="001C3437" w:rsidRPr="001C343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reprezentującego Przedsiębiorstwo Wielobranżowe ARTMET-DUO z siedzibą w Kruszy Zamkowej</w:t>
      </w:r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="001C343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br/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</w:t>
      </w:r>
      <w:r w:rsidR="001C343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pn. </w:t>
      </w:r>
      <w:r w:rsidR="00430D7C" w:rsidRPr="00430D7C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„Rozbudowa zakładu Przedsiębiorstwa Wielobranżowego ARTMET-DUO Ryszard Artwik zlokalizowanego w miejscowości Krusza Zamkowa 12 nr ewid. działek 11/1, 11/2, 11/3, 11/5 oraz 11/7.”</w:t>
      </w:r>
      <w:r w:rsidR="00430D7C" w:rsidRPr="00430D7C" w:rsidDel="00430D7C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bookmarkEnd w:id="0"/>
    </w:p>
    <w:p w14:paraId="062C2ACB" w14:textId="77777777" w:rsidR="00DB0225" w:rsidRDefault="00DB0225" w:rsidP="001C3437">
      <w:pPr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65D4877B" w:rsidR="00130948" w:rsidRPr="006B3FD9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  <w:sz w:val="8"/>
          <w:szCs w:val="8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05D8D606" w:rsidR="00E10AD9" w:rsidRPr="00633E3A" w:rsidRDefault="005772BB" w:rsidP="00430D7C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430D7C" w:rsidRPr="00430D7C">
        <w:rPr>
          <w:rFonts w:ascii="Open Sans" w:hAnsi="Open Sans" w:cs="Open Sans"/>
          <w:b/>
          <w:bCs/>
          <w:color w:val="000000"/>
          <w:sz w:val="22"/>
          <w:szCs w:val="22"/>
        </w:rPr>
        <w:t>„Rozbudowa zakładu Przedsiębiorstwa Wielobranżowego ARTMET-DUO Ryszard Artwik zlokalizowanego w miejscowości Krusza Zamkowa 12 nr ewid. działek 11/1, 11/2, 11/3, 11/5 oraz 11/7.”</w:t>
      </w:r>
      <w:r w:rsidR="00430D7C">
        <w:rPr>
          <w:rFonts w:ascii="Open Sans" w:hAnsi="Open Sans" w:cs="Open Sans"/>
          <w:sz w:val="22"/>
          <w:szCs w:val="22"/>
        </w:rPr>
        <w:t xml:space="preserve">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DE62F7" w:rsidRPr="000C70EC">
        <w:rPr>
          <w:rFonts w:ascii="Open Sans" w:hAnsi="Open Sans" w:cs="Open Sans"/>
          <w:sz w:val="22"/>
          <w:szCs w:val="22"/>
        </w:rPr>
        <w:t xml:space="preserve"> </w:t>
      </w:r>
      <w:r w:rsidR="001C3437">
        <w:rPr>
          <w:rFonts w:ascii="Open Sans" w:hAnsi="Open Sans" w:cs="Open Sans"/>
          <w:sz w:val="22"/>
          <w:szCs w:val="22"/>
        </w:rPr>
        <w:t>12</w:t>
      </w:r>
      <w:r w:rsidR="00430D7C">
        <w:rPr>
          <w:rFonts w:ascii="Open Sans" w:hAnsi="Open Sans" w:cs="Open Sans"/>
          <w:sz w:val="22"/>
          <w:szCs w:val="22"/>
        </w:rPr>
        <w:t xml:space="preserve"> października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2022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</w:t>
      </w:r>
      <w:r w:rsidR="00430D7C">
        <w:rPr>
          <w:rFonts w:ascii="Open Sans" w:hAnsi="Open Sans" w:cs="Open Sans"/>
          <w:sz w:val="22"/>
          <w:szCs w:val="22"/>
        </w:rPr>
        <w:t>.1.37</w:t>
      </w:r>
      <w:r w:rsidR="001C3437">
        <w:rPr>
          <w:rFonts w:ascii="Open Sans" w:hAnsi="Open Sans" w:cs="Open Sans"/>
          <w:sz w:val="22"/>
          <w:szCs w:val="22"/>
        </w:rPr>
        <w:t>.42.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430D7C">
        <w:rPr>
          <w:rFonts w:ascii="Open Sans" w:hAnsi="Open Sans" w:cs="Open Sans"/>
          <w:sz w:val="22"/>
          <w:szCs w:val="22"/>
        </w:rPr>
        <w:t>1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6AB90D7D" w14:textId="77777777" w:rsidR="009B080A" w:rsidRDefault="006B3FD9" w:rsidP="006B3F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584755F7" w14:textId="77777777" w:rsidR="00B0337A" w:rsidRDefault="00B0337A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43B9D19A" w14:textId="77777777" w:rsidR="003076BD" w:rsidRDefault="003076BD" w:rsidP="00A617BD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39131074" w14:textId="23C0D174" w:rsidR="00684B19" w:rsidRDefault="00684B1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3730259C" w14:textId="5C943D4F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3E00D59B" w14:textId="2AF7056B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B6FC66E" w14:textId="21A21182" w:rsidR="00DB0225" w:rsidRDefault="00CB594E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Krusza Zamkowa</w:t>
      </w:r>
    </w:p>
    <w:p w14:paraId="61867866" w14:textId="20459065" w:rsidR="00CB594E" w:rsidRDefault="00CB594E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Wywieszono: </w:t>
      </w:r>
    </w:p>
    <w:p w14:paraId="27C13322" w14:textId="6CF3BFD5" w:rsidR="00CB594E" w:rsidRDefault="00CB594E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Zdjęto:</w:t>
      </w:r>
    </w:p>
    <w:p w14:paraId="2364BFF4" w14:textId="37BE7175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77777777" w:rsidR="00DB0225" w:rsidRPr="009B080A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sectPr w:rsidR="00DB0225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3437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402DBB"/>
    <w:rsid w:val="00407C1D"/>
    <w:rsid w:val="00413627"/>
    <w:rsid w:val="004234CB"/>
    <w:rsid w:val="00430D7C"/>
    <w:rsid w:val="004558B6"/>
    <w:rsid w:val="004C5D3E"/>
    <w:rsid w:val="004F6115"/>
    <w:rsid w:val="00515BF5"/>
    <w:rsid w:val="00537B4A"/>
    <w:rsid w:val="00567389"/>
    <w:rsid w:val="0057524D"/>
    <w:rsid w:val="005772BB"/>
    <w:rsid w:val="00590D3A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B594E"/>
    <w:rsid w:val="00CC58FC"/>
    <w:rsid w:val="00CC6AD2"/>
    <w:rsid w:val="00CE3BB3"/>
    <w:rsid w:val="00CF3965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E10AD9"/>
    <w:rsid w:val="00E16BA1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D3199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97</cp:revision>
  <cp:lastPrinted>2022-10-11T08:38:00Z</cp:lastPrinted>
  <dcterms:created xsi:type="dcterms:W3CDTF">2019-10-28T10:05:00Z</dcterms:created>
  <dcterms:modified xsi:type="dcterms:W3CDTF">2022-10-11T08:38:00Z</dcterms:modified>
</cp:coreProperties>
</file>